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08CAF5" w:rsidP="1F64148C" w:rsidRDefault="2908CAF5" w14:paraId="6774F3A8" w14:textId="248949A7">
      <w:pPr>
        <w:pStyle w:val="Heading1"/>
      </w:pPr>
      <w:r w:rsidR="2908CAF5">
        <w:rPr/>
        <w:t>Two-Person Transfer</w:t>
      </w:r>
    </w:p>
    <w:p w:rsidR="1F64148C" w:rsidP="1F64148C" w:rsidRDefault="1F64148C" w14:paraId="5305F987" w14:textId="0E340570">
      <w:pPr>
        <w:pStyle w:val="Normal"/>
      </w:pPr>
    </w:p>
    <w:p xmlns:wp14="http://schemas.microsoft.com/office/word/2010/wordml" w:rsidP="1F64148C" w14:paraId="390C1720" wp14:textId="76A093E5">
      <w:pPr>
        <w:pStyle w:val="Heading2"/>
      </w:pPr>
      <w:bookmarkStart w:name="_GoBack" w:id="0"/>
      <w:bookmarkEnd w:id="0"/>
      <w:r w:rsidR="2908CAF5">
        <w:rPr/>
        <w:t xml:space="preserve">Edited Video Transcript </w:t>
      </w:r>
    </w:p>
    <w:p xmlns:wp14="http://schemas.microsoft.com/office/word/2010/wordml" w:rsidP="1F64148C" w14:paraId="17B0C420" wp14:textId="7597FCCF">
      <w:pPr>
        <w:pStyle w:val="Heading2"/>
      </w:pPr>
      <w:r w:rsidR="2908CAF5">
        <w:rPr/>
        <w:t xml:space="preserve">   </w:t>
      </w:r>
    </w:p>
    <w:p xmlns:wp14="http://schemas.microsoft.com/office/word/2010/wordml" w:rsidP="1F64148C" w14:paraId="69C35C25" wp14:textId="02F1D6A1">
      <w:pPr>
        <w:pStyle w:val="Heading3"/>
      </w:pPr>
      <w:r w:rsidR="2908CAF5">
        <w:rPr/>
        <w:t xml:space="preserve">Two People Transferring a </w:t>
      </w:r>
      <w:proofErr w:type="gramStart"/>
      <w:r w:rsidR="2908CAF5">
        <w:rPr/>
        <w:t>Client</w:t>
      </w:r>
      <w:proofErr w:type="gramEnd"/>
      <w:r w:rsidR="2908CAF5">
        <w:rPr/>
        <w:t xml:space="preserve"> </w:t>
      </w:r>
    </w:p>
    <w:p xmlns:wp14="http://schemas.microsoft.com/office/word/2010/wordml" w:rsidP="1F64148C" w14:paraId="4B7ED40A" wp14:textId="540066F2">
      <w:pPr>
        <w:pStyle w:val="Normal"/>
      </w:pPr>
    </w:p>
    <w:p xmlns:wp14="http://schemas.microsoft.com/office/word/2010/wordml" w:rsidP="1F64148C" w14:paraId="2C078E63" wp14:textId="0BA374ED">
      <w:pPr>
        <w:pStyle w:val="Normal"/>
      </w:pPr>
      <w:r w:rsidR="2908CAF5">
        <w:rPr/>
        <w:t>So, with a two-person transfer, you're going to have one person—the lead person—in front. The person helping—“You are perfect, Phil, right here in between the chair and the bed or the chair and the chair or the chair and the toilet—they're always here in that triangle. I call it the pocket, right. So, we each have a role. The person in front, it's their job to be in charge. They're going to count it out. They're going to give the instructions. When the transfer starts, they're going to pull onto the client's feet. The assistant is going to grab from the back. Their main job is to swing the [client’s] rear end into the chair. They have a second job if something bad happens. So the nice thing about a two-person transfer—if Cassie were to fall here, she'd fall back on the bed—I’m not that worried. If she's in the chair and she starts to fall back, she's going to fall in the chair, but that pocket is her danger point. If she falls there, she's going, and I can't help her, all right. So, if there's a problem, Phil is going to help push her to safety, right? What we're going to do is, I’m going to come here. Phil’s going to reach around kind of the back, all right. “On the count of three, I’m going to pull forward. Phil’s going to swing—one, two, three, okay? Going back—one, two, three. Oh my gosh.” You couldn't actually transfer much larger people doing it this way because, really, my job is pretty small [to] bring onto the feet. Phil’s job it's pretty small [to] just pull and swing the rear. Questions about that?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0B0EBB"/>
    <w:rsid w:val="0A543FB8"/>
    <w:rsid w:val="1F64148C"/>
    <w:rsid w:val="270B0EBB"/>
    <w:rsid w:val="2908CAF5"/>
    <w:rsid w:val="40FC9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0EBB"/>
  <w15:chartTrackingRefBased/>
  <w15:docId w15:val="{F38C40E3-4E49-4498-AC31-D99041686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B7FC8-28CD-4065-87A5-C75C29FF4AEE}"/>
</file>

<file path=customXml/itemProps2.xml><?xml version="1.0" encoding="utf-8"?>
<ds:datastoreItem xmlns:ds="http://schemas.openxmlformats.org/officeDocument/2006/customXml" ds:itemID="{5ACE3D5F-E763-41D1-BCA8-93930857E572}"/>
</file>

<file path=customXml/itemProps3.xml><?xml version="1.0" encoding="utf-8"?>
<ds:datastoreItem xmlns:ds="http://schemas.openxmlformats.org/officeDocument/2006/customXml" ds:itemID="{F2E877B1-D500-41F8-B6DA-F826C071EE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2022-10-25T18:03:11Z</dcterms:created>
  <dcterms:modified xsi:type="dcterms:W3CDTF">2022-10-25T18:05:03Z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